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EA" w:rsidRPr="00C71B36" w:rsidRDefault="006345EA" w:rsidP="006345EA">
      <w:pPr>
        <w:spacing w:after="0"/>
        <w:rPr>
          <w:rFonts w:ascii="Times New Roman" w:hAnsi="Times New Roman" w:cs="Times New Roman"/>
          <w:b/>
          <w:bCs/>
          <w:sz w:val="28"/>
          <w:szCs w:val="28"/>
          <w:lang w:val="kk-KZ"/>
        </w:rPr>
      </w:pPr>
      <w:r w:rsidRPr="00C71B36">
        <w:rPr>
          <w:rFonts w:ascii="Times New Roman" w:hAnsi="Times New Roman" w:cs="Times New Roman"/>
          <w:b/>
          <w:bCs/>
          <w:sz w:val="28"/>
          <w:szCs w:val="28"/>
          <w:lang w:val="kk-KZ"/>
        </w:rPr>
        <w:t>НЕГІЗГІ БӨЛІМ</w:t>
      </w:r>
    </w:p>
    <w:p w:rsidR="006345EA" w:rsidRPr="00C71B36" w:rsidRDefault="006345EA" w:rsidP="006345EA">
      <w:pPr>
        <w:spacing w:after="0"/>
        <w:ind w:firstLine="720"/>
        <w:rPr>
          <w:rFonts w:ascii="Times New Roman" w:hAnsi="Times New Roman" w:cs="Times New Roman"/>
          <w:b/>
          <w:bCs/>
          <w:sz w:val="28"/>
          <w:szCs w:val="28"/>
          <w:lang w:val="kk-KZ"/>
        </w:rPr>
      </w:pPr>
      <w:r w:rsidRPr="00C71B36">
        <w:rPr>
          <w:rFonts w:ascii="Times New Roman" w:hAnsi="Times New Roman" w:cs="Times New Roman"/>
          <w:b/>
          <w:sz w:val="28"/>
          <w:szCs w:val="28"/>
          <w:lang w:val="kk-KZ"/>
        </w:rPr>
        <w:t>Мәдениет және тұлға.</w:t>
      </w:r>
    </w:p>
    <w:p w:rsidR="006345EA" w:rsidRPr="00C71B36" w:rsidRDefault="006345EA" w:rsidP="006345EA">
      <w:pPr>
        <w:spacing w:after="0"/>
        <w:rPr>
          <w:rFonts w:ascii="Times New Roman" w:hAnsi="Times New Roman" w:cs="Times New Roman"/>
          <w:b/>
          <w:bCs/>
          <w:sz w:val="28"/>
          <w:szCs w:val="28"/>
          <w:lang w:val="kk-KZ"/>
        </w:rPr>
      </w:pPr>
      <w:r w:rsidRPr="00C71B36">
        <w:rPr>
          <w:rFonts w:ascii="Times New Roman" w:hAnsi="Times New Roman" w:cs="Times New Roman"/>
          <w:sz w:val="28"/>
          <w:szCs w:val="28"/>
          <w:lang w:val="kk-KZ"/>
        </w:rPr>
        <w:t>Тұлғаның әлеуметтік мәні. Әлеуметтік-мәдени тұлғаның детерминациясы. Тұлғаның әлеуметтену түсінігі. Тұлғаның әлеуметтенуіндегі мәдениеттің функциялары. Әлеуметтену процесіндегі тұлғаның әлеуметтік-мәдени ортасы және мәдени белсенділігі. Жеке тұлғаның мәдени белсенділік механизмі.</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Тұлға және бос уақыт мәдениеті. Бос уақыт мәдениетінің динамикалық көрсеткіші. </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Қазіргі көркемдік мәдениет және тұлға. Көркемдік мәдениеттің түсінігі мен құрылымы. Көркемдік мәдениет және жеке тұлғаның рухани әлеуеті. Көркемдік мәдениеттің функциялары. Әдебиет пен өнерге эстетикалық және әлеуметтік көзқарас.</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 xml:space="preserve">Суретші және қоғам: творчествалық бастама мен әлеуметтік мүдденің арақатынасы. </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Модернизация және тұлға. Тұлғаның өзгеріске деген бейімделу көрсеткіші. Маргиналды жеке тұлғаның келелі мәселелері. Шеттету және оны жеңудің мәдени жолдары.</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Тұлға, қоғам және мәдениет жалпы мәдениет пәнін құраушы бөлінбейтін үштік (П.Сорокин).</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Интегралды мәдени жүйенің және интегралданбаған (дифференциалдық немесе дезинтеграциялық) әлеуметтік-мәдени топтанудың, көпшіліктің айырмашылығы. Жеке мәдени құбылыстарды (тіл, ғылым, философия, дін, өнер, құқық, адамгершілік және т.б.) біріктіруші негізгі мәдени жүйелер. Адамдарды мәдени қауымдастықтарға, топтарға біріктіруші тарихи, саяси және ұлттық келісімділіктің әлеуметтік-мәдени жүйелері. Тұлғаның әлеуметтік-мәдени жүйедегі және «супержүйедегі» интеграциялық түрлі дәрежелері. Әлеуметтік-мәдени парадигманың түсінігі; пардигманың біршама тұрақтылығы мен орнықтылығы; кризис және мертік; мәдени парадигманың мәдени-тарихи қоғамдағы және тұлғадағы механизмдердің ауысуы.</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Тұлға және мәдени шығармашылық. Индивидуалдық және ұжымдық шығармашылық (сондай-ақ халықтық, бұқаралық). Шығармашылықтың стихиялығы мен саналылығы. Шығармашылықтағы дәстүр және инновация. Мәдениет пен мәдениет тарихындағы шығармашылықтың үлгілері. Мәдени-шығармашылық процестердегі символикалық кодтың жүйелері. Мәдени парадигма мен әлеуметтік-мәдени жүйедегі динамика процесіндегі символикалық кодтардың ауысуы. </w:t>
      </w:r>
    </w:p>
    <w:p w:rsidR="006345EA" w:rsidRPr="00C71B36" w:rsidRDefault="006345EA" w:rsidP="006345EA">
      <w:pPr>
        <w:spacing w:after="0"/>
        <w:jc w:val="both"/>
        <w:rPr>
          <w:rFonts w:ascii="Times New Roman" w:hAnsi="Times New Roman" w:cs="Times New Roman"/>
          <w:b/>
          <w:sz w:val="28"/>
          <w:szCs w:val="28"/>
          <w:lang w:val="kk-KZ"/>
        </w:rPr>
      </w:pPr>
      <w:r w:rsidRPr="00C71B36">
        <w:rPr>
          <w:rFonts w:ascii="Times New Roman" w:hAnsi="Times New Roman" w:cs="Times New Roman"/>
          <w:b/>
          <w:sz w:val="28"/>
          <w:szCs w:val="28"/>
          <w:lang w:val="kk-KZ"/>
        </w:rPr>
        <w:t>Мәдениеттің әлеуметтік институттары мен мәдениетті басқармасы.</w:t>
      </w:r>
    </w:p>
    <w:p w:rsidR="006345EA" w:rsidRPr="00C71B36" w:rsidRDefault="006345EA" w:rsidP="006345EA">
      <w:pPr>
        <w:spacing w:after="0"/>
        <w:ind w:firstLine="720"/>
        <w:jc w:val="both"/>
        <w:rPr>
          <w:rFonts w:ascii="Times New Roman" w:hAnsi="Times New Roman" w:cs="Times New Roman"/>
          <w:b/>
          <w:sz w:val="28"/>
          <w:szCs w:val="28"/>
          <w:lang w:val="kk-KZ"/>
        </w:rPr>
      </w:pPr>
      <w:r w:rsidRPr="00C71B36">
        <w:rPr>
          <w:rFonts w:ascii="Times New Roman" w:hAnsi="Times New Roman" w:cs="Times New Roman"/>
          <w:sz w:val="28"/>
          <w:szCs w:val="28"/>
          <w:lang w:val="kk-KZ"/>
        </w:rPr>
        <w:lastRenderedPageBreak/>
        <w:t>Мәдениеттегі әлеуметтік институттардың рөлі. Индустриялды қоғамға дейінгі әлеуметтік-мәдени институттар. Салттар мен әлеуметтік институттар.</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Мемлекет және мәдениет. Мемлекет әлеуметтік институт ретінде. Қоғамның мәдени өмірін қолдаудағы мемлекеттің рөлі. Мемлекеттік мәдениетті басқарудың принциптері мен механизмдері. ҚР-ның мемлекеттік мәдени саясаты және оның міндеті мен құрылымы. Қоғамдағы мәдени процестерді әлеуметтік реттеу. Мәдени процестерді реттеу мен басқарудың түсінігі, мақсаты мен циклы. Мәдени  процестердің өзін-өзі реттеуі мен басқаруының арақатынасы. Мәдениетті басқару органдары және қаржыландыру әдістері.</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Қоғамды дамытудың экономикалық жағдайы мен мәдениеттің өзара әрекеттестігі. Коммерциализация жағдайға және айналым арақатынасқа ауысудағы мәдениет. Мәдениет және айналым. Мәдениетті қолдаудағы айналым механизмдері. Мәдениетті тауар ретінде шығару. Қазіргі қоғамдағы мәдени өмірдің коммерциялық регуляциясы. Мәдени іс-әрекеттің регуляциясындағы жебеушіліктің, фондтардың, конкурстардың рөлі. Мәдени  менеджмент және «шоубизнес». </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Білім және мәдениет. Білімнің рухани функциялары, білімді тарату мен дамыту, мәдени деңгейді қолдау, дифференциацияны жоғарылату, әлеуметтік мобилдылық пен қоғамдық интеграцияны нығайту. Білімнің проффесионалдық, тәрбиелік және жалпы мәдени мақсаты. </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Мәдениет және дін. Мәдени поцестер мен мәдениетті басқаруға діннің әсері. Мерекелер мәдени институт ретінде. </w:t>
      </w:r>
    </w:p>
    <w:p w:rsidR="006345EA" w:rsidRPr="00C71B36" w:rsidRDefault="006345EA" w:rsidP="006345EA">
      <w:pPr>
        <w:spacing w:after="0"/>
        <w:jc w:val="both"/>
        <w:rPr>
          <w:rFonts w:ascii="Times New Roman" w:hAnsi="Times New Roman" w:cs="Times New Roman"/>
          <w:sz w:val="28"/>
          <w:szCs w:val="28"/>
          <w:lang w:val="kk-KZ"/>
        </w:rPr>
      </w:pPr>
    </w:p>
    <w:p w:rsidR="006345EA" w:rsidRPr="00C71B36" w:rsidRDefault="006345EA" w:rsidP="006345EA">
      <w:pPr>
        <w:spacing w:after="0"/>
        <w:jc w:val="both"/>
        <w:rPr>
          <w:rFonts w:ascii="Times New Roman" w:hAnsi="Times New Roman" w:cs="Times New Roman"/>
          <w:b/>
          <w:sz w:val="28"/>
          <w:szCs w:val="28"/>
          <w:lang w:val="kk-KZ"/>
        </w:rPr>
      </w:pPr>
      <w:r w:rsidRPr="00C71B36">
        <w:rPr>
          <w:rFonts w:ascii="Times New Roman" w:hAnsi="Times New Roman" w:cs="Times New Roman"/>
          <w:b/>
          <w:sz w:val="28"/>
          <w:szCs w:val="28"/>
          <w:lang w:val="kk-KZ"/>
        </w:rPr>
        <w:t>Мәдениеттің рөлдік түсінігі.</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Әлеуметтік мәдениеттегі рөл түсінігі. Қоғамның рөлдік құрылым мен оның мәдени-семантикалық толықтырылуы. Мәдениеттегі рөлдер типологиясы мен рөлдік ойындар. Бұқаралық, топтық және жеке рөлдер. Нормативтік әлеуметтік-мәдени жүйедегі рөлдерді үлестіру ретіндегі мәдениеттегі әлеуметтену мен аккультурация. Мәртебе мен бедел тұлғаның, топтың, партияның, ұлттың, мемлекеттің рөлдік функциясы ретінде. Ұлттық сана-сезім, ұлттық өзіндік идентификация, партиялық және мемлекеттік анжирлеу рөлдік функция мен рөлдік тәрбиенің формалары ретінде. Байсалдылық пен жүйелік мәдениет субъект пен мәдениет объектісінің рөлдік дифференциясы ретінде. Интелектуалды мен кәдімгі; элитарлық және бұқаралық мәдениеттер; күнделікті мәдениет мәдениетке рөлдік тәсіл түрінде. Әлеуметтік-мәдени рөлдердің специализациялық және унификациялық формалары. Мәдениеттегі инсценировкалық және театралдық өмір. Өмір мен тәртіп стильдері мәдениетке рөлдік позиция </w:t>
      </w:r>
      <w:r w:rsidRPr="00C71B36">
        <w:rPr>
          <w:rFonts w:ascii="Times New Roman" w:hAnsi="Times New Roman" w:cs="Times New Roman"/>
          <w:sz w:val="28"/>
          <w:szCs w:val="28"/>
          <w:lang w:val="kk-KZ"/>
        </w:rPr>
        <w:lastRenderedPageBreak/>
        <w:t>тәсілімен. Мәдениет тарихы мен мәдениет аралық диалогтағы ережелер, бағыт-бағдардың артықшылығы, рөлдің профанациясы мен рутинизациясы.</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Гетелік морфологиялық түс рөлдік тәсілмен мәдениетті үйренудегі оптималды модель ретінде және оның XX ғасырдың басындағы (Р.Штейнер, О.Шпенглер, француз және орыс символистері, феноменологтар мен неокантиандықтар – Г.Риккерт, Г.Коген, Э.Кассирер, авангардтар В.Кандинский, К.Малевич және басқалар) мәдениеттің рөлдік концепциясына әсері. М.Люшердің түрлі-түсті психологиясы және оның XX ғасыр мәдениеттануы мен мәдениеттегі мағынасы. Танымның рөлдік интерпретациясы және тұлғаның тәрбиесі түрлі-түсті психологиялық анализ бен тұлғаның эмоционалдық жағдайының түстік тестілеу арқылы. Үрей, қорғаушы механизмдер, рөлдік конфликттер, рөлдік мақсаттылық-сенім және рөлдік стратегия анализі түрлі-түсті артықтау ұғыну мен олардың әлеуметтік-мәдени символикалары арқылы. Тұлғаның тәрбиесіндегі, киіміндегі, хоббиындағы, интерьеріндегі және тұрғын ұй салудағы, эротикадағы, денелік сырқат рефлекциясындағы, ұстанымындағы, сән үлгісіндегі рөлдік ойын анализі. Рөлдік ойын интерпретациясындағы және анализіндегі Э.Бернның әлеуметтік-психологиялық методологиясы. Өндіріс орынындағы, бизнестегі, жанұялық қарым-қатынастағы, оқудағы және тәрбиедегі, тұрмыс жағдайындағы, эротикадағы және жыныстық қатынастағы рөлдік ойындар. Мәдениеттің жекеменшік морфологиялары (өнер морфологиясы, ғылым, дін; этностар морфологиясы, өміршеңдік, мәдени-саяси стратегия және т.с.с.) мәдениетке ойын призмалық тәсіл арқылы. </w:t>
      </w:r>
    </w:p>
    <w:p w:rsidR="006345EA" w:rsidRPr="00C71B36" w:rsidRDefault="006345EA" w:rsidP="006345EA">
      <w:pPr>
        <w:spacing w:after="0"/>
        <w:ind w:firstLine="72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 xml:space="preserve">Мәдениеттің әлеуметтік интерпретациясындағы түрлі рөлдік тәсілдер. К.Маркстың әлеуметтік мәдениетіндегі әлеуметтік рөлдерді түсіну. М.Вебердың әлеуметтік мәдениетіндегі рөлдік қарым-қатынасты түсіну. Э.Дюркгеймнің әлеуметтік мәдениетіне рөлдік тәсіл. Г.Зиммельдің әлеуметтік мәдениетіндегі рөлдер мен рөлдік конфликттер. Т.Парсонс және оның рөлдік тәрбиесіндегі әлеуметтік-мәдени анализдік методологиясы. П.Сорокиннің әлеуметтік мәдениетіндегі әлеуметтік рөлдердің интерпретациясы. А.Шюцтың күнделікті әлеуметтануына рөлдік тәсіл. Қоғамның рөлдік интерпретациясындағы өркениет пен эрос (Г.Маркузе мен Э.Фромм). П.Бергер мен Т.Лукман    бойынша «Шындықтың әлеуметтік құрылымдауы» және социумға түстік рөл тәсілімен. Э.Гоффманның әлеуметтік бейнелеуі мәдениет пен қоғамға рөлдік тәсілдің абсолютациясы ретінде. Габитус түсінігі және саясаттағы рөлдерді үлестіру (П.Бурдье). «Өркениеттер қақтығысы» (С.Хантингтон) өркениет пен өркениет аралық қарым-қатынасты үйренуге деген рөлдік принциптерді тарату ретінде. </w:t>
      </w:r>
    </w:p>
    <w:p w:rsidR="006345EA" w:rsidRPr="00C71B36" w:rsidRDefault="006345EA" w:rsidP="006345EA">
      <w:pPr>
        <w:spacing w:after="0"/>
        <w:jc w:val="both"/>
        <w:rPr>
          <w:rFonts w:ascii="Times New Roman" w:hAnsi="Times New Roman" w:cs="Times New Roman"/>
          <w:sz w:val="28"/>
          <w:szCs w:val="28"/>
          <w:lang w:val="kk-KZ"/>
        </w:rPr>
      </w:pPr>
    </w:p>
    <w:p w:rsidR="006345EA" w:rsidRPr="00C71B36" w:rsidRDefault="006345EA" w:rsidP="006345EA">
      <w:pPr>
        <w:spacing w:after="0"/>
        <w:jc w:val="both"/>
        <w:rPr>
          <w:rFonts w:ascii="Times New Roman" w:hAnsi="Times New Roman" w:cs="Times New Roman"/>
          <w:b/>
          <w:sz w:val="28"/>
          <w:szCs w:val="28"/>
        </w:rPr>
      </w:pPr>
      <w:r w:rsidRPr="00C71B36">
        <w:rPr>
          <w:rFonts w:ascii="Times New Roman" w:hAnsi="Times New Roman" w:cs="Times New Roman"/>
          <w:b/>
          <w:sz w:val="28"/>
          <w:szCs w:val="28"/>
          <w:lang w:val="kk-KZ"/>
        </w:rPr>
        <w:lastRenderedPageBreak/>
        <w:t>Мәдениеттің әлеуметтік динамикасы.</w:t>
      </w:r>
    </w:p>
    <w:p w:rsidR="006345EA" w:rsidRPr="00C71B36" w:rsidRDefault="006345EA" w:rsidP="006345EA">
      <w:pPr>
        <w:spacing w:after="0"/>
        <w:ind w:firstLine="708"/>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 xml:space="preserve">Мәдени статика және мәдени динамика. Мәдени әрекетсіздіктің салыстырмалығы. Мәдени бейнесіндегі процестер типологиясы: имманенттік және детерминдік. Мәдениет пен социум арасындағы шартты шекарада күшейген әлеуметтік динамика жиынтық процесі ретінде. Мәдени мағынаның әлеуметтенуі және әлеуметтік құбылыстардың аккультурациясы. Қоғамның әлеуметтік-мәдени механизмдері туралы түсінік. </w:t>
      </w:r>
    </w:p>
    <w:p w:rsidR="006345EA" w:rsidRPr="00C71B36" w:rsidRDefault="006345EA" w:rsidP="006345EA">
      <w:pPr>
        <w:spacing w:after="0"/>
        <w:ind w:firstLine="708"/>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 xml:space="preserve">Мәдениеттің әлеуметтік динамикасы мен оның типологиясы. Әлеуметтік динамикаға қатысты процестің үш типі. Әлеуметтік-мәдени объектілер мен мәдени субъектілердің сапалы өзгерістеріне қатысты әлеуметтік-мәдени дамудың процестері. Горизанталды және вертикалды қоғамдағы топтар мен әр түрлі қауымдардағы әлеуметтік-мәдени диффузия процестері. Қоғамның әлеуметтік-мәдени мобилдылығы. Әлеуметтік-мәдени коммуникация процестері. Әлеуметтік динамиканың әрбір үш типінің нақты мәдени-тарихи жағдайға әсері. </w:t>
      </w:r>
    </w:p>
    <w:p w:rsidR="006345EA" w:rsidRPr="00C71B36" w:rsidRDefault="006345EA" w:rsidP="006345EA">
      <w:pPr>
        <w:spacing w:after="0"/>
        <w:ind w:firstLine="709"/>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Қысқа және ұзаққа созылатын әлеуметтік-мәдени процестер. Мәдениеттің макродинамикасы мен микродинамикасы. Мәдениеттегі эволюциялық және революциялық процестер. Мәдени жарылу және механизмдер, оның мәдениет тарихындағы ескерілуі (Ю.Лотман). Мәдени парадигманың ауысуы және «сынық». Ғылыми революциялар. Әлеуметтік мәдениет көзқарасы бойынша өндірістік, ғылыми-техникалық және компьютерлік революция. Мәдениет революциясы әлеуметтік және мәдениеттанулық проблема ретінде. Мәдени революция типтері (Батыс Еуропа, Америка, «үшінші әлем» елдері). Батыс Еуропадағы 1968 жыл мәдени революция тәжірибесі ретінде. Ресейдегі мәдени революция. Ресейдегі бірінші мәдени революция – Петр реформалары. XX ғасырдағы Орыс мәдени революциясы және оның теоретиктері (Ленин, Троцкий, Бухарин, Луначарский, Богданов, Сталин, Жданов). Мәдени революция тудырушы конфликттер мен альянстар және оның нәтижелері мен салдарлары. Ресей аймағындағы ұлттық мәдени революциялар. Қытай мәдени революциясы. Иран мәдени революциясы.</w:t>
      </w:r>
    </w:p>
    <w:p w:rsidR="006345EA" w:rsidRPr="00C71B36" w:rsidRDefault="006345EA" w:rsidP="006345EA">
      <w:pPr>
        <w:spacing w:after="0"/>
        <w:ind w:firstLine="709"/>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 xml:space="preserve">Мәдени экспансия және мәдени агрессия империализм мен колониализм проблемасы ретінде. Қазіргі мәдени империализм және оның сипатты белгілері. Мәдени экспансияның механизмдері. Мәдени тәуелсіздік үшін күрес: мәдени тұрмыстың әлеуметтік-мәдени шекаралары. Мәдени диалог және мәдени плюрализм. Әлемдік мәдениет және оның ұлттық мәдениетке әсері. Ұлттық мәдениеттің жалпы адамдық мәдениетке әлеуметтік-мәдени интеграциялық жолдары. Әлемдік мәдениеттегі шындық және утопиялық проектілер. Мәдениеттегі мәңгілік құндылықтар және </w:t>
      </w:r>
      <w:r w:rsidRPr="00C71B36">
        <w:rPr>
          <w:rFonts w:ascii="Times New Roman" w:hAnsi="Times New Roman" w:cs="Times New Roman"/>
          <w:sz w:val="28"/>
          <w:szCs w:val="28"/>
          <w:lang w:val="kk-KZ"/>
        </w:rPr>
        <w:lastRenderedPageBreak/>
        <w:t xml:space="preserve">тарихи келуші мәдени құндылықтар. Мәдени нормалар мен құндылықтардың әлеуметтік-топтық, ұлттық және тарихи шектеулілігі, оның мәдениет аралық және топ аралық әлеуметтік-мәдени диалогты игеруі. </w:t>
      </w:r>
    </w:p>
    <w:p w:rsidR="006345EA" w:rsidRPr="00C71B36" w:rsidRDefault="006345EA" w:rsidP="006345EA">
      <w:pPr>
        <w:spacing w:after="0"/>
        <w:ind w:firstLine="709"/>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Инверсия мен медиация әлеуметтік-мәдени дамудың механизмдері ретінде (А.Ахиезера еңбегі бойынша). Әлемдік және отандық мәдениет тарихындағы инверсия мен медиация диалектикасы. Тарихи дамудағы глобалдық циклдарды әр түрлі ұлттық мәдениеттер тарихын инверсиондық және медиативтік процестер арқылы оқып, біржола жою. Мәдени әлеуметтану тұрғысындағы өмір сүру стилі мен бейнесі (Э.Орлова, Л.Ионин). Өмір бейнесі мен өмірлік стиль типологиясы. Мәдени архитектоника тарихтың динамикалық моделі ретінді (И.Кандаков). Мәдениетке архитектоникалық тәсіл принциптері (М.Бахтин).</w:t>
      </w:r>
    </w:p>
    <w:p w:rsidR="006345EA" w:rsidRPr="00C71B36" w:rsidRDefault="006345EA" w:rsidP="006345EA">
      <w:pPr>
        <w:spacing w:after="0"/>
        <w:jc w:val="both"/>
        <w:rPr>
          <w:rFonts w:ascii="Times New Roman" w:hAnsi="Times New Roman" w:cs="Times New Roman"/>
          <w:sz w:val="28"/>
          <w:szCs w:val="28"/>
          <w:lang w:val="kk-KZ"/>
        </w:rPr>
      </w:pPr>
    </w:p>
    <w:p w:rsidR="006345EA" w:rsidRPr="00C71B36" w:rsidRDefault="006345EA" w:rsidP="006345EA">
      <w:pPr>
        <w:spacing w:after="0"/>
        <w:jc w:val="both"/>
        <w:rPr>
          <w:rFonts w:ascii="Times New Roman" w:hAnsi="Times New Roman" w:cs="Times New Roman"/>
          <w:b/>
          <w:sz w:val="28"/>
          <w:szCs w:val="28"/>
          <w:lang w:val="kk-KZ"/>
        </w:rPr>
      </w:pPr>
      <w:r w:rsidRPr="00C71B36">
        <w:rPr>
          <w:rFonts w:ascii="Times New Roman" w:hAnsi="Times New Roman" w:cs="Times New Roman"/>
          <w:b/>
          <w:sz w:val="28"/>
          <w:szCs w:val="28"/>
          <w:lang w:val="kk-KZ"/>
        </w:rPr>
        <w:t>Мәдениеттің методологиялық және методикалық әлеуметтік зерттеулері.</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Мәдениеттің әлеуметтік зерттеулеріндегі тәсілдер мен әдістердің әртараптығы. Әлеуметтанудағы теоретикалық және эмпирикалық мәдени зерттеулер. Зерттеудің нәтижелерін анализдеудегі сандық және сапалық тәсіл. Мәдениеттің әлеуметтік зерттеулерінің практикадағы әдістерінің сәйкестігі. </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Мәдениеттің әлеуметтік бағытын оқудағы әдістер. Интервью. Сұраным. Қосылған бақылау. Контент-анализ. Статистикалық мағлұматтар. Тесттер. Өлшеу. Мәдениеттің әлеуметтік зерттеулері методикаларының артықшылықтары мен нақты кемшіліктері. Мағлұматтардың верификациясы. Тарихшылдық және тарихшылдыққа қарсы; К.Поппердің тарихшылдықты сынауы. Мәдениетті зерттеудегі «Кері тарихшылдық» (М.Блок). Әлеуметтануды зерттеуде алға қойылған мақсаттар мен тапсырмаларды есепке ала отырып оптималды методология мен методиканы таңдау. Мәдениетті үйренудегі нақты комплекстік тәсіл. Мәдени әлеуметтанудағы методологиялық плюрализм. Үлкен масштабтағы комплекстік мәдениетті зерттеудегі организациялық принциптер. Мәдениеттің дамуындағы әлеуметтік көрсеткіштер. Мәдениет аумағындағы халықаралық әлеуметтік зерттеулер. Мәдени әлеуметтану аумағындағы халықаралық келісімдер.</w:t>
      </w:r>
    </w:p>
    <w:p w:rsidR="006345EA" w:rsidRPr="00C71B36" w:rsidRDefault="006345EA" w:rsidP="006345EA">
      <w:pPr>
        <w:spacing w:after="0"/>
        <w:jc w:val="both"/>
        <w:rPr>
          <w:rFonts w:ascii="Times New Roman" w:hAnsi="Times New Roman" w:cs="Times New Roman"/>
          <w:sz w:val="28"/>
          <w:szCs w:val="28"/>
          <w:lang w:val="kk-KZ"/>
        </w:rPr>
      </w:pPr>
      <w:r w:rsidRPr="00C71B36">
        <w:rPr>
          <w:rFonts w:ascii="Times New Roman" w:hAnsi="Times New Roman" w:cs="Times New Roman"/>
          <w:sz w:val="28"/>
          <w:szCs w:val="28"/>
          <w:lang w:val="kk-KZ"/>
        </w:rPr>
        <w:tab/>
        <w:t xml:space="preserve">Мәдениеттің әлеуметтік-мәдени жағдайының өткен мен қазіргіні оқу мүмкіндіктері. Мәдени менталитет әлеуметтік үйрену пәні ретінде. Кәдімгі мен специалдандырылған, институтционалған және спекулятивті мәдениет және оның эмпирикалық дифференциациясы. Әлемнің ұлттық бейнесі және мәдени мен діндік артықшылықтарды әлеуметтану тұрғысынан үйрену. Бос уақыт мәдени қарым-қатынас пен тұлға дамуының формасы ретінде. Мәдени іс-әрекеттің түрлері мен мақсаттары. Мәдени іс-әрекеттің теңбілділігі мен </w:t>
      </w:r>
      <w:r w:rsidRPr="00C71B36">
        <w:rPr>
          <w:rFonts w:ascii="Times New Roman" w:hAnsi="Times New Roman" w:cs="Times New Roman"/>
          <w:sz w:val="28"/>
          <w:szCs w:val="28"/>
          <w:lang w:val="kk-KZ"/>
        </w:rPr>
        <w:lastRenderedPageBreak/>
        <w:t xml:space="preserve">жиынтығы. Мәдени саясат коррекциясын құрудағы әлеуметтік зерттеулердің рөлі. </w:t>
      </w:r>
    </w:p>
    <w:p w:rsidR="006345EA" w:rsidRPr="00C71B36" w:rsidRDefault="006345EA" w:rsidP="006345EA">
      <w:pPr>
        <w:spacing w:after="0"/>
        <w:jc w:val="both"/>
        <w:rPr>
          <w:rFonts w:ascii="Times New Roman" w:hAnsi="Times New Roman" w:cs="Times New Roman"/>
          <w:sz w:val="28"/>
          <w:szCs w:val="28"/>
          <w:lang w:val="kk-KZ"/>
        </w:rPr>
      </w:pPr>
    </w:p>
    <w:p w:rsidR="00000000" w:rsidRPr="00C71B36" w:rsidRDefault="00095368" w:rsidP="006345EA">
      <w:pPr>
        <w:spacing w:after="0"/>
        <w:rPr>
          <w:rFonts w:ascii="Times New Roman" w:hAnsi="Times New Roman" w:cs="Times New Roman"/>
          <w:sz w:val="28"/>
          <w:szCs w:val="28"/>
        </w:rPr>
      </w:pPr>
    </w:p>
    <w:p w:rsidR="00095368" w:rsidRPr="00C71B36" w:rsidRDefault="00095368">
      <w:pPr>
        <w:spacing w:after="0"/>
        <w:rPr>
          <w:rFonts w:ascii="Times New Roman" w:hAnsi="Times New Roman" w:cs="Times New Roman"/>
          <w:sz w:val="28"/>
          <w:szCs w:val="28"/>
        </w:rPr>
      </w:pPr>
    </w:p>
    <w:sectPr w:rsidR="00095368" w:rsidRPr="00C71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Kaz">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10"/>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1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1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1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0000001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
    <w:nsid w:val="0000001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0">
    <w:nsid w:val="0000001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1">
    <w:nsid w:val="10A65292"/>
    <w:multiLevelType w:val="hybridMultilevel"/>
    <w:tmpl w:val="D0FE4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D207AF1"/>
    <w:multiLevelType w:val="hybridMultilevel"/>
    <w:tmpl w:val="8BB0470C"/>
    <w:lvl w:ilvl="0" w:tplc="633E9DF6">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A794DA5"/>
    <w:multiLevelType w:val="hybridMultilevel"/>
    <w:tmpl w:val="1D14ECD8"/>
    <w:lvl w:ilvl="0" w:tplc="5BA2D76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9C2B9E"/>
    <w:multiLevelType w:val="hybridMultilevel"/>
    <w:tmpl w:val="67C8E4AA"/>
    <w:lvl w:ilvl="0" w:tplc="FA32EED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345EA"/>
    <w:rsid w:val="00095368"/>
    <w:rsid w:val="006345EA"/>
    <w:rsid w:val="00C71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45EA"/>
    <w:pPr>
      <w:keepNext/>
      <w:autoSpaceDE w:val="0"/>
      <w:autoSpaceDN w:val="0"/>
      <w:spacing w:after="0" w:line="240" w:lineRule="auto"/>
      <w:jc w:val="center"/>
      <w:outlineLvl w:val="0"/>
    </w:pPr>
    <w:rPr>
      <w:rFonts w:ascii="Times New Roman" w:eastAsia="Times New Roman" w:hAnsi="Times New Roman" w:cs="Mangal"/>
      <w:b/>
      <w:bCs/>
      <w:sz w:val="28"/>
      <w:szCs w:val="28"/>
      <w:lang w:bidi="hi-IN"/>
    </w:rPr>
  </w:style>
  <w:style w:type="paragraph" w:styleId="2">
    <w:name w:val="heading 2"/>
    <w:basedOn w:val="a"/>
    <w:next w:val="a"/>
    <w:link w:val="20"/>
    <w:uiPriority w:val="99"/>
    <w:qFormat/>
    <w:rsid w:val="006345EA"/>
    <w:pPr>
      <w:keepNext/>
      <w:autoSpaceDE w:val="0"/>
      <w:autoSpaceDN w:val="0"/>
      <w:spacing w:after="0" w:line="240" w:lineRule="auto"/>
      <w:ind w:left="1440"/>
      <w:jc w:val="both"/>
      <w:outlineLvl w:val="1"/>
    </w:pPr>
    <w:rPr>
      <w:rFonts w:ascii="Times New Roman" w:eastAsia="Times New Roman" w:hAnsi="Times New Roman" w:cs="Mangal"/>
      <w:sz w:val="28"/>
      <w:szCs w:val="28"/>
      <w:lang w:bidi="hi-IN"/>
    </w:rPr>
  </w:style>
  <w:style w:type="paragraph" w:styleId="3">
    <w:name w:val="heading 3"/>
    <w:basedOn w:val="a"/>
    <w:next w:val="a"/>
    <w:link w:val="30"/>
    <w:uiPriority w:val="99"/>
    <w:qFormat/>
    <w:rsid w:val="006345EA"/>
    <w:pPr>
      <w:keepNext/>
      <w:autoSpaceDE w:val="0"/>
      <w:autoSpaceDN w:val="0"/>
      <w:spacing w:after="0" w:line="240" w:lineRule="auto"/>
      <w:jc w:val="center"/>
      <w:outlineLvl w:val="2"/>
    </w:pPr>
    <w:rPr>
      <w:rFonts w:ascii="Times New Roman" w:eastAsia="Times New Roman" w:hAnsi="Times New Roman" w:cs="Mangal"/>
      <w:sz w:val="28"/>
      <w:szCs w:val="28"/>
      <w:lang w:bidi="hi-IN"/>
    </w:rPr>
  </w:style>
  <w:style w:type="paragraph" w:styleId="5">
    <w:name w:val="heading 5"/>
    <w:basedOn w:val="a"/>
    <w:next w:val="a"/>
    <w:link w:val="50"/>
    <w:uiPriority w:val="9"/>
    <w:semiHidden/>
    <w:unhideWhenUsed/>
    <w:qFormat/>
    <w:rsid w:val="006345EA"/>
    <w:pPr>
      <w:autoSpaceDE w:val="0"/>
      <w:autoSpaceDN w:val="0"/>
      <w:spacing w:before="240" w:after="60" w:line="240" w:lineRule="auto"/>
      <w:outlineLvl w:val="4"/>
    </w:pPr>
    <w:rPr>
      <w:rFonts w:cs="Mangal"/>
      <w:b/>
      <w:bCs/>
      <w:i/>
      <w:iCs/>
      <w:sz w:val="26"/>
      <w:szCs w:val="23"/>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45EA"/>
    <w:rPr>
      <w:rFonts w:ascii="Times New Roman" w:eastAsia="Times New Roman" w:hAnsi="Times New Roman" w:cs="Mangal"/>
      <w:b/>
      <w:bCs/>
      <w:sz w:val="28"/>
      <w:szCs w:val="28"/>
      <w:lang w:bidi="hi-IN"/>
    </w:rPr>
  </w:style>
  <w:style w:type="character" w:customStyle="1" w:styleId="20">
    <w:name w:val="Заголовок 2 Знак"/>
    <w:basedOn w:val="a0"/>
    <w:link w:val="2"/>
    <w:uiPriority w:val="99"/>
    <w:rsid w:val="006345EA"/>
    <w:rPr>
      <w:rFonts w:ascii="Times New Roman" w:eastAsia="Times New Roman" w:hAnsi="Times New Roman" w:cs="Mangal"/>
      <w:sz w:val="28"/>
      <w:szCs w:val="28"/>
      <w:lang w:bidi="hi-IN"/>
    </w:rPr>
  </w:style>
  <w:style w:type="character" w:customStyle="1" w:styleId="30">
    <w:name w:val="Заголовок 3 Знак"/>
    <w:basedOn w:val="a0"/>
    <w:link w:val="3"/>
    <w:uiPriority w:val="99"/>
    <w:rsid w:val="006345EA"/>
    <w:rPr>
      <w:rFonts w:ascii="Times New Roman" w:eastAsia="Times New Roman" w:hAnsi="Times New Roman" w:cs="Mangal"/>
      <w:sz w:val="28"/>
      <w:szCs w:val="28"/>
      <w:lang w:bidi="hi-IN"/>
    </w:rPr>
  </w:style>
  <w:style w:type="character" w:customStyle="1" w:styleId="50">
    <w:name w:val="Заголовок 5 Знак"/>
    <w:basedOn w:val="a0"/>
    <w:link w:val="5"/>
    <w:uiPriority w:val="9"/>
    <w:semiHidden/>
    <w:rsid w:val="006345EA"/>
    <w:rPr>
      <w:rFonts w:cs="Mangal"/>
      <w:b/>
      <w:bCs/>
      <w:i/>
      <w:iCs/>
      <w:sz w:val="26"/>
      <w:szCs w:val="23"/>
      <w:lang w:bidi="hi-IN"/>
    </w:rPr>
  </w:style>
  <w:style w:type="paragraph" w:styleId="21">
    <w:name w:val="Body Text 2"/>
    <w:basedOn w:val="a"/>
    <w:link w:val="22"/>
    <w:uiPriority w:val="99"/>
    <w:rsid w:val="006345EA"/>
    <w:pPr>
      <w:autoSpaceDE w:val="0"/>
      <w:autoSpaceDN w:val="0"/>
      <w:spacing w:after="0" w:line="240" w:lineRule="auto"/>
      <w:ind w:firstLine="720"/>
      <w:jc w:val="both"/>
    </w:pPr>
    <w:rPr>
      <w:rFonts w:ascii="Times New Roman" w:eastAsia="Times New Roman" w:hAnsi="Times New Roman" w:cs="Mangal"/>
      <w:b/>
      <w:bCs/>
      <w:sz w:val="28"/>
      <w:szCs w:val="28"/>
      <w:lang w:bidi="hi-IN"/>
    </w:rPr>
  </w:style>
  <w:style w:type="character" w:customStyle="1" w:styleId="22">
    <w:name w:val="Основной текст 2 Знак"/>
    <w:basedOn w:val="a0"/>
    <w:link w:val="21"/>
    <w:uiPriority w:val="99"/>
    <w:rsid w:val="006345EA"/>
    <w:rPr>
      <w:rFonts w:ascii="Times New Roman" w:eastAsia="Times New Roman" w:hAnsi="Times New Roman" w:cs="Mangal"/>
      <w:b/>
      <w:bCs/>
      <w:sz w:val="28"/>
      <w:szCs w:val="28"/>
      <w:lang w:bidi="hi-IN"/>
    </w:rPr>
  </w:style>
  <w:style w:type="paragraph" w:styleId="31">
    <w:name w:val="Body Text Indent 3"/>
    <w:basedOn w:val="a"/>
    <w:link w:val="32"/>
    <w:uiPriority w:val="99"/>
    <w:rsid w:val="006345EA"/>
    <w:pPr>
      <w:autoSpaceDE w:val="0"/>
      <w:autoSpaceDN w:val="0"/>
      <w:spacing w:after="0" w:line="240" w:lineRule="auto"/>
      <w:ind w:firstLine="851"/>
      <w:jc w:val="both"/>
    </w:pPr>
    <w:rPr>
      <w:rFonts w:ascii="Times New Roman" w:eastAsia="Times New Roman" w:hAnsi="Times New Roman" w:cs="Mangal"/>
      <w:sz w:val="28"/>
      <w:szCs w:val="28"/>
      <w:lang w:val="en-US" w:bidi="hi-IN"/>
    </w:rPr>
  </w:style>
  <w:style w:type="character" w:customStyle="1" w:styleId="32">
    <w:name w:val="Основной текст с отступом 3 Знак"/>
    <w:basedOn w:val="a0"/>
    <w:link w:val="31"/>
    <w:uiPriority w:val="99"/>
    <w:rsid w:val="006345EA"/>
    <w:rPr>
      <w:rFonts w:ascii="Times New Roman" w:eastAsia="Times New Roman" w:hAnsi="Times New Roman" w:cs="Mangal"/>
      <w:sz w:val="28"/>
      <w:szCs w:val="28"/>
      <w:lang w:val="en-US" w:bidi="hi-IN"/>
    </w:rPr>
  </w:style>
  <w:style w:type="paragraph" w:customStyle="1" w:styleId="11">
    <w:name w:val="заголовок 1"/>
    <w:basedOn w:val="a"/>
    <w:next w:val="a"/>
    <w:rsid w:val="006345EA"/>
    <w:pPr>
      <w:keepNext/>
      <w:spacing w:after="0" w:line="240" w:lineRule="auto"/>
      <w:outlineLvl w:val="0"/>
    </w:pPr>
    <w:rPr>
      <w:rFonts w:ascii="Times Kaz" w:eastAsia="Times New Roman" w:hAnsi="Times Kaz"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dc:creator>
  <cp:keywords/>
  <dc:description/>
  <cp:lastModifiedBy>Aigerim</cp:lastModifiedBy>
  <cp:revision>4</cp:revision>
  <dcterms:created xsi:type="dcterms:W3CDTF">2006-07-16T10:25:00Z</dcterms:created>
  <dcterms:modified xsi:type="dcterms:W3CDTF">2006-07-16T10:25:00Z</dcterms:modified>
</cp:coreProperties>
</file>